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4AD9" w14:textId="77777777" w:rsidR="00EB36FB" w:rsidRPr="00362B34" w:rsidRDefault="00EB36FB" w:rsidP="00EB36FB">
      <w:pPr>
        <w:autoSpaceDE w:val="0"/>
        <w:autoSpaceDN w:val="0"/>
        <w:spacing w:before="240"/>
        <w:ind w:left="139"/>
        <w:jc w:val="right"/>
        <w:rPr>
          <w:rFonts w:ascii="Marianne" w:hAnsi="Marianne"/>
          <w:b/>
          <w:bCs/>
          <w:sz w:val="20"/>
          <w:szCs w:val="20"/>
          <w:lang w:eastAsia="fr-FR"/>
        </w:rPr>
      </w:pPr>
      <w:r w:rsidRPr="00362B34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7D190A8" wp14:editId="0DA726D8">
            <wp:simplePos x="0" y="0"/>
            <wp:positionH relativeFrom="column">
              <wp:posOffset>-166370</wp:posOffset>
            </wp:positionH>
            <wp:positionV relativeFrom="paragraph">
              <wp:posOffset>0</wp:posOffset>
            </wp:positionV>
            <wp:extent cx="1478915" cy="119951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199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2B34">
        <w:rPr>
          <w:rFonts w:ascii="Marianne" w:hAnsi="Marianne"/>
          <w:b/>
          <w:bCs/>
          <w:sz w:val="24"/>
          <w:szCs w:val="24"/>
          <w:lang w:eastAsia="fr-FR"/>
        </w:rPr>
        <w:t>Secrétariat général</w:t>
      </w:r>
    </w:p>
    <w:p w14:paraId="336B2B8B" w14:textId="77777777" w:rsidR="00EB36FB" w:rsidRDefault="00EB36FB" w:rsidP="00EB36FB"/>
    <w:p w14:paraId="31723CA1" w14:textId="77777777" w:rsidR="00EB36FB" w:rsidRDefault="00EB36FB" w:rsidP="00EB36FB"/>
    <w:p w14:paraId="068CAAC2" w14:textId="77777777" w:rsidR="00EB36FB" w:rsidRDefault="00EB36FB" w:rsidP="00EB36FB"/>
    <w:p w14:paraId="5D7F85C7" w14:textId="77777777" w:rsidR="00EB36FB" w:rsidRDefault="00EB36FB" w:rsidP="00EB36FB"/>
    <w:p w14:paraId="003C1111" w14:textId="77777777" w:rsidR="00EB36FB" w:rsidRDefault="00EB36FB" w:rsidP="00EB36FB"/>
    <w:p w14:paraId="1B6770A0" w14:textId="77777777" w:rsidR="00EB36FB" w:rsidRDefault="00EB36FB" w:rsidP="00EB36FB"/>
    <w:p w14:paraId="6A586D7C" w14:textId="77777777" w:rsidR="00EB36FB" w:rsidRDefault="00EB36FB" w:rsidP="00EB36FB"/>
    <w:p w14:paraId="5D6D2196" w14:textId="77777777" w:rsidR="00EB36FB" w:rsidRDefault="00EB36FB" w:rsidP="00EB36FB"/>
    <w:p w14:paraId="3EAE54C7" w14:textId="77777777" w:rsidR="00EB36FB" w:rsidRDefault="00EB36FB" w:rsidP="00EB36FB"/>
    <w:p w14:paraId="40F7359A" w14:textId="77777777" w:rsidR="00EB36FB" w:rsidRDefault="00EB36FB" w:rsidP="00EB36FB"/>
    <w:p w14:paraId="66D03095" w14:textId="77777777" w:rsidR="00EB36FB" w:rsidRDefault="00EB36FB" w:rsidP="00EB36FB"/>
    <w:p w14:paraId="5BE4A396" w14:textId="77777777" w:rsidR="00EB36FB" w:rsidRDefault="00EB36FB" w:rsidP="00EB36FB"/>
    <w:p w14:paraId="6D649B10" w14:textId="77777777" w:rsidR="00EB36FB" w:rsidRPr="00E502E0" w:rsidRDefault="00EB36FB" w:rsidP="00EB36FB">
      <w:pPr>
        <w:rPr>
          <w:sz w:val="24"/>
          <w:szCs w:val="24"/>
        </w:rPr>
      </w:pPr>
    </w:p>
    <w:p w14:paraId="479DB264" w14:textId="78D0642F" w:rsidR="00EB36FB" w:rsidRPr="008943EA" w:rsidRDefault="00EB36FB" w:rsidP="00EB36FB">
      <w:pPr>
        <w:jc w:val="center"/>
        <w:rPr>
          <w:rFonts w:ascii="Marianne" w:hAnsi="Marianne"/>
          <w:b/>
          <w:bCs/>
          <w:sz w:val="32"/>
          <w:szCs w:val="32"/>
        </w:rPr>
      </w:pPr>
      <w:r w:rsidRPr="008943EA">
        <w:rPr>
          <w:rFonts w:ascii="Marianne" w:hAnsi="Marianne"/>
          <w:b/>
          <w:bCs/>
          <w:sz w:val="32"/>
          <w:szCs w:val="32"/>
        </w:rPr>
        <w:t>Accord-cadre à bons de commande relatif à la veille</w:t>
      </w:r>
      <w:r w:rsidR="008A53F4" w:rsidRPr="008943EA">
        <w:rPr>
          <w:rFonts w:ascii="Marianne" w:hAnsi="Marianne"/>
          <w:b/>
          <w:bCs/>
          <w:sz w:val="32"/>
          <w:szCs w:val="32"/>
        </w:rPr>
        <w:t>, la synthèse et l’analyse des médias et réseaux sociaux</w:t>
      </w:r>
      <w:r w:rsidRPr="008943EA">
        <w:rPr>
          <w:rFonts w:ascii="Marianne" w:hAnsi="Marianne"/>
          <w:b/>
          <w:bCs/>
          <w:sz w:val="32"/>
          <w:szCs w:val="32"/>
        </w:rPr>
        <w:t xml:space="preserve"> pour les services centraux du ministère de la Justice</w:t>
      </w:r>
    </w:p>
    <w:p w14:paraId="266C410D" w14:textId="77777777" w:rsidR="00EB36FB" w:rsidRDefault="00EB36FB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</w:p>
    <w:p w14:paraId="348AB03B" w14:textId="77777777" w:rsidR="00EB36FB" w:rsidRDefault="00EB36FB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</w:p>
    <w:p w14:paraId="1EA59105" w14:textId="77777777" w:rsidR="00EB36FB" w:rsidRDefault="00EB36FB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</w:p>
    <w:p w14:paraId="684213AB" w14:textId="77777777" w:rsidR="00EB36FB" w:rsidRPr="00E502E0" w:rsidRDefault="00EB36FB" w:rsidP="00EB36FB">
      <w:pPr>
        <w:jc w:val="center"/>
        <w:rPr>
          <w:rFonts w:ascii="Marianne" w:hAnsi="Marianne"/>
          <w:b/>
          <w:bCs/>
          <w:sz w:val="24"/>
          <w:szCs w:val="24"/>
        </w:rPr>
      </w:pPr>
      <w:r w:rsidRPr="00E502E0">
        <w:rPr>
          <w:rFonts w:ascii="Marianne" w:hAnsi="Marianne"/>
          <w:b/>
          <w:bCs/>
          <w:sz w:val="24"/>
          <w:szCs w:val="24"/>
        </w:rPr>
        <w:t xml:space="preserve">CAHIER DES CLAUSES TECHNIQUES PARTICULIERES (CCTP) </w:t>
      </w:r>
    </w:p>
    <w:p w14:paraId="14A8CE6D" w14:textId="77777777" w:rsidR="008943EA" w:rsidRPr="008943EA" w:rsidRDefault="008943EA" w:rsidP="008943EA">
      <w:pPr>
        <w:rPr>
          <w:rFonts w:ascii="Marianne" w:hAnsi="Marianne"/>
          <w:sz w:val="24"/>
          <w:szCs w:val="24"/>
        </w:rPr>
      </w:pPr>
    </w:p>
    <w:p w14:paraId="19D5CA85" w14:textId="2B03FB53" w:rsidR="008943EA" w:rsidRPr="008943EA" w:rsidRDefault="00EB36FB" w:rsidP="008943EA">
      <w:pPr>
        <w:jc w:val="center"/>
        <w:rPr>
          <w:rFonts w:ascii="Marianne" w:hAnsi="Marianne"/>
          <w:b/>
          <w:bCs/>
          <w:sz w:val="24"/>
          <w:szCs w:val="24"/>
        </w:rPr>
      </w:pPr>
      <w:r w:rsidRPr="008943EA">
        <w:rPr>
          <w:rFonts w:ascii="Marianne" w:hAnsi="Marianne"/>
          <w:b/>
          <w:bCs/>
          <w:sz w:val="24"/>
          <w:szCs w:val="24"/>
        </w:rPr>
        <w:t xml:space="preserve">ANNEXE 1 CONCERNANT LE LOT </w:t>
      </w:r>
      <w:r w:rsidR="008943EA" w:rsidRPr="008943EA">
        <w:rPr>
          <w:rFonts w:ascii="Marianne" w:hAnsi="Marianne"/>
          <w:b/>
          <w:bCs/>
          <w:sz w:val="24"/>
          <w:szCs w:val="24"/>
        </w:rPr>
        <w:t>2</w:t>
      </w:r>
    </w:p>
    <w:p w14:paraId="27530198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267F0641" w14:textId="753F14BC" w:rsidR="008943EA" w:rsidRPr="000124A3" w:rsidRDefault="000124A3" w:rsidP="000124A3">
      <w:pPr>
        <w:spacing w:after="160" w:line="259" w:lineRule="auto"/>
        <w:jc w:val="center"/>
        <w:rPr>
          <w:rFonts w:ascii="Marianne" w:hAnsi="Marianne"/>
          <w:b/>
          <w:bCs/>
          <w:sz w:val="24"/>
          <w:szCs w:val="24"/>
        </w:rPr>
      </w:pPr>
      <w:r w:rsidRPr="000124A3">
        <w:rPr>
          <w:rFonts w:ascii="Marianne" w:hAnsi="Marianne"/>
          <w:b/>
          <w:bCs/>
          <w:sz w:val="24"/>
          <w:szCs w:val="24"/>
        </w:rPr>
        <w:t>CONSIGNES COMPLEMENTAIRES POUR LA REALISATION DES PANORAMAS QUOTIDIENS</w:t>
      </w:r>
    </w:p>
    <w:p w14:paraId="645955A4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2FD0A4A5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7C232E57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14A02D89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6A180FDE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1872CA3C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52E5A610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32BE251D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4D129D35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6DA51E9C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3CC358E2" w14:textId="77777777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6C0E0358" w14:textId="14E6085C" w:rsidR="008943EA" w:rsidRDefault="008943EA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</w:p>
    <w:p w14:paraId="2B2FB687" w14:textId="3670F54B" w:rsidR="00C83F08" w:rsidRPr="008943EA" w:rsidRDefault="00C83F08" w:rsidP="008943EA">
      <w:pPr>
        <w:spacing w:after="160" w:line="259" w:lineRule="auto"/>
        <w:rPr>
          <w:rFonts w:ascii="Marianne" w:hAnsi="Marianne" w:cstheme="minorBidi"/>
          <w:b/>
          <w:bCs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Le</w:t>
      </w:r>
      <w:r>
        <w:rPr>
          <w:rFonts w:ascii="Marianne" w:hAnsi="Marianne" w:cstheme="minorBidi"/>
          <w:sz w:val="20"/>
          <w:szCs w:val="20"/>
        </w:rPr>
        <w:t>s</w:t>
      </w:r>
      <w:r w:rsidRPr="002E2C89">
        <w:rPr>
          <w:rFonts w:ascii="Marianne" w:hAnsi="Marianne" w:cstheme="minorBidi"/>
          <w:sz w:val="20"/>
          <w:szCs w:val="20"/>
        </w:rPr>
        <w:t xml:space="preserve"> panorama quotidien</w:t>
      </w:r>
      <w:r>
        <w:rPr>
          <w:rFonts w:ascii="Marianne" w:hAnsi="Marianne" w:cstheme="minorBidi"/>
          <w:sz w:val="20"/>
          <w:szCs w:val="20"/>
        </w:rPr>
        <w:t>s,</w:t>
      </w:r>
      <w:r w:rsidRPr="002E2C89">
        <w:rPr>
          <w:rFonts w:ascii="Marianne" w:hAnsi="Marianne" w:cstheme="minorBidi"/>
          <w:sz w:val="20"/>
          <w:szCs w:val="20"/>
        </w:rPr>
        <w:t xml:space="preserve"> national et régional</w:t>
      </w:r>
      <w:r>
        <w:rPr>
          <w:rFonts w:ascii="Marianne" w:hAnsi="Marianne" w:cstheme="minorBidi"/>
          <w:sz w:val="20"/>
          <w:szCs w:val="20"/>
        </w:rPr>
        <w:t>,</w:t>
      </w:r>
      <w:r w:rsidRPr="002E2C89">
        <w:rPr>
          <w:rFonts w:ascii="Marianne" w:hAnsi="Marianne" w:cstheme="minorBidi"/>
          <w:sz w:val="20"/>
          <w:szCs w:val="20"/>
        </w:rPr>
        <w:t xml:space="preserve"> reprennent les différentes rubriques</w:t>
      </w:r>
      <w:r>
        <w:rPr>
          <w:rFonts w:ascii="Marianne" w:hAnsi="Marianne" w:cstheme="minorBidi"/>
          <w:sz w:val="20"/>
          <w:szCs w:val="20"/>
        </w:rPr>
        <w:t xml:space="preserve"> définies suivantes : </w:t>
      </w:r>
    </w:p>
    <w:p w14:paraId="607A1D60" w14:textId="77777777" w:rsidR="00C83F08" w:rsidRPr="009254BD" w:rsidRDefault="00C83F08" w:rsidP="00C83F08">
      <w:pPr>
        <w:spacing w:after="160" w:line="259" w:lineRule="auto"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 w:rsidRPr="009254BD">
        <w:rPr>
          <w:rFonts w:ascii="Marianne" w:hAnsi="Marianne" w:cstheme="minorBidi"/>
          <w:b/>
          <w:bCs/>
          <w:sz w:val="20"/>
          <w:szCs w:val="20"/>
          <w:u w:val="single"/>
        </w:rPr>
        <w:t>Unes de presse</w:t>
      </w:r>
    </w:p>
    <w:p w14:paraId="47C5DEE4" w14:textId="77777777" w:rsidR="00C83F08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>
        <w:rPr>
          <w:rFonts w:ascii="Marianne" w:hAnsi="Marianne" w:cstheme="minorBidi"/>
          <w:sz w:val="20"/>
          <w:szCs w:val="20"/>
        </w:rPr>
        <w:t xml:space="preserve">Les Unes de presse évoquant une thématique relative à la Justice doivent être intégrées dans cette rubrique. </w:t>
      </w:r>
    </w:p>
    <w:p w14:paraId="0D04A3B4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 w:rsidRPr="00E54F01">
        <w:rPr>
          <w:rFonts w:ascii="Marianne" w:hAnsi="Marianne" w:cstheme="minorBidi"/>
          <w:b/>
          <w:bCs/>
          <w:sz w:val="20"/>
          <w:szCs w:val="20"/>
          <w:u w:val="single"/>
        </w:rPr>
        <w:t xml:space="preserve">Garde des Sceaux </w:t>
      </w:r>
    </w:p>
    <w:p w14:paraId="0608DFD3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 xml:space="preserve">Cette rubrique regroupe tous les articles mentionnant directement le ministre de la Justice. </w:t>
      </w:r>
    </w:p>
    <w:p w14:paraId="1D7F544E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i/>
          <w:iCs/>
          <w:sz w:val="20"/>
          <w:szCs w:val="20"/>
        </w:rPr>
        <w:t>Doivent être inclus :</w:t>
      </w:r>
      <w:r w:rsidRPr="002E2C89">
        <w:rPr>
          <w:rFonts w:ascii="Marianne" w:hAnsi="Marianne" w:cstheme="minorBidi"/>
          <w:sz w:val="20"/>
          <w:szCs w:val="20"/>
        </w:rPr>
        <w:t xml:space="preserve"> </w:t>
      </w:r>
      <w:bookmarkStart w:id="0" w:name="_Hlk193290239"/>
      <w:r w:rsidRPr="002E2C89">
        <w:rPr>
          <w:rFonts w:ascii="Marianne" w:hAnsi="Marianne" w:cstheme="minorBidi"/>
          <w:i/>
          <w:iCs/>
          <w:sz w:val="20"/>
          <w:szCs w:val="20"/>
        </w:rPr>
        <w:t>liste non exhaustive</w:t>
      </w:r>
      <w:bookmarkEnd w:id="0"/>
    </w:p>
    <w:p w14:paraId="38D20615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Déclarations officielles du Garde des sceaux ;</w:t>
      </w:r>
    </w:p>
    <w:p w14:paraId="6C4033FC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 xml:space="preserve">Interviews, tribunes ou interventions médiatiques du ministre ; </w:t>
      </w:r>
    </w:p>
    <w:p w14:paraId="76173B03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 xml:space="preserve">Prises de position du ministre sur des réformes, lois ou sujets d’actualités ; </w:t>
      </w:r>
    </w:p>
    <w:p w14:paraId="743FD4A7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Annonces de déplacement, visite officielles ou rencontres institutionnelles ;</w:t>
      </w:r>
    </w:p>
    <w:p w14:paraId="4FCE0088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 xml:space="preserve">Réactions à des évènements judiciaires majeurs. </w:t>
      </w:r>
    </w:p>
    <w:p w14:paraId="2CF7309B" w14:textId="77777777" w:rsidR="00C83F08" w:rsidRPr="002E2C89" w:rsidRDefault="00C83F08" w:rsidP="00C83F08">
      <w:pPr>
        <w:spacing w:after="160" w:line="259" w:lineRule="auto"/>
        <w:ind w:left="720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221083ED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2E2C89">
        <w:rPr>
          <w:rFonts w:ascii="Marianne" w:hAnsi="Marianne" w:cstheme="minorBidi"/>
          <w:i/>
          <w:iCs/>
          <w:sz w:val="20"/>
          <w:szCs w:val="20"/>
        </w:rPr>
        <w:t xml:space="preserve">Doivent être exclus : </w:t>
      </w:r>
    </w:p>
    <w:p w14:paraId="6EA1D7DD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Articles sur la vie privée ou familiale du ministre ;</w:t>
      </w:r>
    </w:p>
    <w:p w14:paraId="51E31F09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Article mentionnant le ministre uniquement en tant que membre du gouvernement sans lien direct avec la Justice (ex : remaniement ministériel) ;</w:t>
      </w:r>
    </w:p>
    <w:p w14:paraId="112A8FE3" w14:textId="77777777" w:rsidR="00C83F08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Articles liés aux campagnes électorales en particulier pendant les périodes de réserve.</w:t>
      </w:r>
    </w:p>
    <w:p w14:paraId="28DEB55B" w14:textId="77777777" w:rsidR="00C83F08" w:rsidRPr="002E2C89" w:rsidRDefault="00C83F08" w:rsidP="00C83F08">
      <w:pPr>
        <w:spacing w:after="160" w:line="259" w:lineRule="auto"/>
        <w:ind w:left="720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02E03F40" w14:textId="56D62C21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Un article mentionnant marginalement le Garde des Sceaux doit être classé dans la rubrique du sujet principal</w:t>
      </w:r>
      <w:r w:rsidR="00EB36FB">
        <w:rPr>
          <w:rFonts w:ascii="Marianne" w:hAnsi="Marianne" w:cstheme="minorBidi"/>
          <w:sz w:val="20"/>
          <w:szCs w:val="20"/>
        </w:rPr>
        <w:t xml:space="preserve"> sur lequel il porte</w:t>
      </w:r>
      <w:r w:rsidRPr="002E2C89">
        <w:rPr>
          <w:rFonts w:ascii="Marianne" w:hAnsi="Marianne" w:cstheme="minorBidi"/>
          <w:sz w:val="20"/>
          <w:szCs w:val="20"/>
        </w:rPr>
        <w:t>.</w:t>
      </w:r>
    </w:p>
    <w:p w14:paraId="6FE72FE5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>
        <w:rPr>
          <w:rFonts w:ascii="Marianne" w:hAnsi="Marianne" w:cstheme="minorBidi"/>
          <w:b/>
          <w:bCs/>
          <w:sz w:val="20"/>
          <w:szCs w:val="20"/>
          <w:u w:val="single"/>
        </w:rPr>
        <w:t>Direction de l’a</w:t>
      </w:r>
      <w:r w:rsidRPr="00E54F01">
        <w:rPr>
          <w:rFonts w:ascii="Marianne" w:hAnsi="Marianne" w:cstheme="minorBidi"/>
          <w:b/>
          <w:bCs/>
          <w:sz w:val="20"/>
          <w:szCs w:val="20"/>
          <w:u w:val="single"/>
        </w:rPr>
        <w:t>dministration pénitentiaire</w:t>
      </w:r>
    </w:p>
    <w:p w14:paraId="1325667F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 xml:space="preserve">Cette rubrique couvre toutes les actualités liées au système pénitentiaire en France. </w:t>
      </w:r>
    </w:p>
    <w:p w14:paraId="1CD9DBBF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2E2C89">
        <w:rPr>
          <w:rFonts w:ascii="Marianne" w:hAnsi="Marianne" w:cstheme="minorBidi"/>
          <w:i/>
          <w:iCs/>
          <w:sz w:val="20"/>
          <w:szCs w:val="20"/>
        </w:rPr>
        <w:t>Doivent être inclus</w:t>
      </w:r>
      <w:r w:rsidRPr="002E2C89">
        <w:rPr>
          <w:rFonts w:ascii="Marianne" w:hAnsi="Marianne" w:cstheme="minorBidi"/>
          <w:sz w:val="20"/>
          <w:szCs w:val="20"/>
        </w:rPr>
        <w:t xml:space="preserve"> </w:t>
      </w:r>
      <w:r>
        <w:rPr>
          <w:rFonts w:ascii="Marianne" w:hAnsi="Marianne" w:cstheme="minorBidi"/>
          <w:sz w:val="20"/>
          <w:szCs w:val="20"/>
        </w:rPr>
        <w:t>(</w:t>
      </w:r>
      <w:r w:rsidRPr="002E2C89">
        <w:rPr>
          <w:rFonts w:ascii="Marianne" w:hAnsi="Marianne" w:cstheme="minorBidi"/>
          <w:i/>
          <w:iCs/>
          <w:sz w:val="20"/>
          <w:szCs w:val="20"/>
        </w:rPr>
        <w:t>liste non exhaustive</w:t>
      </w:r>
      <w:r>
        <w:rPr>
          <w:rFonts w:ascii="Marianne" w:hAnsi="Marianne" w:cstheme="minorBidi"/>
          <w:i/>
          <w:iCs/>
          <w:sz w:val="20"/>
          <w:szCs w:val="20"/>
        </w:rPr>
        <w:t xml:space="preserve">) : </w:t>
      </w:r>
    </w:p>
    <w:p w14:paraId="6CCFFE68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Politiques publiques et réformes concernant les prisons et centres de détention ;</w:t>
      </w:r>
    </w:p>
    <w:p w14:paraId="025FDBB0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Conditions de détention, évasions, incidents en milieu carcéral</w:t>
      </w:r>
      <w:r>
        <w:rPr>
          <w:rFonts w:ascii="Marianne" w:hAnsi="Marianne" w:cstheme="minorBidi"/>
          <w:sz w:val="20"/>
          <w:szCs w:val="20"/>
        </w:rPr>
        <w:t xml:space="preserve"> ; </w:t>
      </w:r>
    </w:p>
    <w:p w14:paraId="327BA4D0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Statistiques sur la population carcérale ;</w:t>
      </w:r>
    </w:p>
    <w:p w14:paraId="4C6E8A0B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Annonces et débats sur la construction ou rénovation d’établissements pénitentiaires ;</w:t>
      </w:r>
    </w:p>
    <w:p w14:paraId="47B2A79B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Actions des surveillants pénitentiaires (mobilisations, revendications, etc.).</w:t>
      </w:r>
    </w:p>
    <w:p w14:paraId="2BD4B675" w14:textId="77777777" w:rsidR="00C83F08" w:rsidRPr="002E2C89" w:rsidRDefault="00C83F08" w:rsidP="00C83F08">
      <w:pPr>
        <w:spacing w:after="160" w:line="259" w:lineRule="auto"/>
        <w:ind w:left="720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1A68757B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2E2C89">
        <w:rPr>
          <w:rFonts w:ascii="Marianne" w:hAnsi="Marianne" w:cstheme="minorBidi"/>
          <w:i/>
          <w:iCs/>
          <w:sz w:val="20"/>
          <w:szCs w:val="20"/>
        </w:rPr>
        <w:t>Ne doivent pas être inclus :</w:t>
      </w:r>
    </w:p>
    <w:p w14:paraId="346FB465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Articles portant uniquement sur une décision judiciaire sans lien avec l’univers carcéral</w:t>
      </w:r>
      <w:r>
        <w:rPr>
          <w:rFonts w:ascii="Marianne" w:hAnsi="Marianne" w:cstheme="minorBidi"/>
          <w:sz w:val="20"/>
          <w:szCs w:val="20"/>
        </w:rPr>
        <w:t xml:space="preserve">, comme les centres de rétention administrative ; </w:t>
      </w:r>
    </w:p>
    <w:p w14:paraId="3C684FD2" w14:textId="77777777" w:rsidR="00C83F08" w:rsidRPr="002E2C89" w:rsidRDefault="00C83F08" w:rsidP="00C83F08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Affaires judiciaires sans impact direct sur le fonctionnement des prisons.</w:t>
      </w:r>
    </w:p>
    <w:p w14:paraId="08CB0FEC" w14:textId="77777777" w:rsidR="00C83F08" w:rsidRPr="002E2C89" w:rsidRDefault="00C83F08" w:rsidP="00C83F08">
      <w:pPr>
        <w:spacing w:after="160" w:line="259" w:lineRule="auto"/>
        <w:ind w:left="720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712E8209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>
        <w:rPr>
          <w:rFonts w:ascii="Marianne" w:hAnsi="Marianne" w:cstheme="minorBidi"/>
          <w:b/>
          <w:bCs/>
          <w:sz w:val="20"/>
          <w:szCs w:val="20"/>
          <w:u w:val="single"/>
        </w:rPr>
        <w:lastRenderedPageBreak/>
        <w:t xml:space="preserve">Direction de la </w:t>
      </w:r>
      <w:r w:rsidRPr="00E54F01">
        <w:rPr>
          <w:rFonts w:ascii="Marianne" w:hAnsi="Marianne" w:cstheme="minorBidi"/>
          <w:b/>
          <w:bCs/>
          <w:sz w:val="20"/>
          <w:szCs w:val="20"/>
          <w:u w:val="single"/>
        </w:rPr>
        <w:t>Protection judiciaire de la jeunesse</w:t>
      </w:r>
    </w:p>
    <w:p w14:paraId="203F810B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Cette rubrique concerne l’ensemble des sujets liés à la justice des mineurs ou un mineur en particulier.</w:t>
      </w:r>
    </w:p>
    <w:p w14:paraId="3F463A85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E54F01">
        <w:rPr>
          <w:rFonts w:ascii="Marianne" w:hAnsi="Marianne" w:cstheme="minorBidi"/>
          <w:i/>
          <w:iCs/>
          <w:sz w:val="20"/>
          <w:szCs w:val="20"/>
        </w:rPr>
        <w:t>Doivent être inclus</w:t>
      </w:r>
      <w:r w:rsidRPr="00E54F01">
        <w:rPr>
          <w:rFonts w:ascii="Marianne" w:hAnsi="Marianne" w:cstheme="minorBidi"/>
          <w:sz w:val="20"/>
          <w:szCs w:val="20"/>
        </w:rPr>
        <w:t xml:space="preserve"> (</w:t>
      </w:r>
      <w:r w:rsidRPr="00E54F01">
        <w:rPr>
          <w:rFonts w:ascii="Marianne" w:hAnsi="Marianne" w:cstheme="minorBidi"/>
          <w:i/>
          <w:iCs/>
          <w:sz w:val="20"/>
          <w:szCs w:val="20"/>
        </w:rPr>
        <w:t xml:space="preserve">liste non exhaustive) : </w:t>
      </w:r>
    </w:p>
    <w:p w14:paraId="043FCAA6" w14:textId="77777777" w:rsidR="00C83F08" w:rsidRPr="002E2C89" w:rsidRDefault="00C83F08" w:rsidP="00C83F08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Réformes et décisions relatives à la justice des mineurs ;</w:t>
      </w:r>
    </w:p>
    <w:p w14:paraId="1E4DFCFA" w14:textId="77777777" w:rsidR="00C83F08" w:rsidRPr="002E2C89" w:rsidRDefault="00C83F08" w:rsidP="00C83F08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Actualités sur les centres éducatifs fermés (CEF) et autres dispositifs de prise en charge des jeunes délinquants ;</w:t>
      </w:r>
    </w:p>
    <w:p w14:paraId="30EEBEEA" w14:textId="77777777" w:rsidR="00C83F08" w:rsidRPr="00E54F01" w:rsidRDefault="00C83F08" w:rsidP="00C83F08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Affaires judiciaires impliquant des mineurs (dans la limite des règles de protection de l’enfance et de l’anonymat) ;</w:t>
      </w:r>
    </w:p>
    <w:p w14:paraId="521EE468" w14:textId="77777777" w:rsidR="00C83F08" w:rsidRDefault="00C83F08" w:rsidP="00C83F08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Politiques publiques et partenariats liés à la protection des jeunes en conflit avec la loi.</w:t>
      </w:r>
    </w:p>
    <w:p w14:paraId="062D5BFA" w14:textId="77777777" w:rsidR="00C83F08" w:rsidRPr="002E2C89" w:rsidRDefault="00C83F08" w:rsidP="00C83F08">
      <w:pPr>
        <w:spacing w:after="160" w:line="259" w:lineRule="auto"/>
        <w:ind w:left="720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152E3268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2E2C89">
        <w:rPr>
          <w:rFonts w:ascii="Marianne" w:hAnsi="Marianne" w:cstheme="minorBidi"/>
          <w:i/>
          <w:iCs/>
          <w:sz w:val="20"/>
          <w:szCs w:val="20"/>
        </w:rPr>
        <w:t>Ne doivent pas être inclus :</w:t>
      </w:r>
    </w:p>
    <w:p w14:paraId="2850762E" w14:textId="77777777" w:rsidR="00C83F08" w:rsidRPr="002E2C89" w:rsidRDefault="00C83F08" w:rsidP="00C83F08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Articles généraux sur l’éducation ou la jeunesse sans lien avec la justice.</w:t>
      </w:r>
    </w:p>
    <w:p w14:paraId="31D2979B" w14:textId="77777777" w:rsidR="00C83F08" w:rsidRPr="002E2C89" w:rsidRDefault="00C83F08" w:rsidP="00C83F08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Articles évoquant un mineur sans dimension judiciaire ou pénale.</w:t>
      </w:r>
    </w:p>
    <w:p w14:paraId="770EE76D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</w:p>
    <w:p w14:paraId="11D143CD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 w:rsidRPr="00E54F01">
        <w:rPr>
          <w:rFonts w:ascii="Marianne" w:hAnsi="Marianne" w:cstheme="minorBidi"/>
          <w:b/>
          <w:bCs/>
          <w:sz w:val="20"/>
          <w:szCs w:val="20"/>
          <w:u w:val="single"/>
        </w:rPr>
        <w:t>Direction des Services judiciaires</w:t>
      </w:r>
    </w:p>
    <w:p w14:paraId="2422C50C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 xml:space="preserve">Cette rubrique couvre le fonctionnement des juridictions et des acteurs de la justice. </w:t>
      </w:r>
    </w:p>
    <w:p w14:paraId="64EE3253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E54F01">
        <w:rPr>
          <w:rFonts w:ascii="Marianne" w:hAnsi="Marianne" w:cstheme="minorBidi"/>
          <w:i/>
          <w:iCs/>
          <w:sz w:val="20"/>
          <w:szCs w:val="20"/>
        </w:rPr>
        <w:t>Doivent être inclus</w:t>
      </w:r>
      <w:r w:rsidRPr="00E54F01">
        <w:rPr>
          <w:rFonts w:ascii="Marianne" w:hAnsi="Marianne" w:cstheme="minorBidi"/>
          <w:sz w:val="20"/>
          <w:szCs w:val="20"/>
        </w:rPr>
        <w:t xml:space="preserve"> (</w:t>
      </w:r>
      <w:r w:rsidRPr="00E54F01">
        <w:rPr>
          <w:rFonts w:ascii="Marianne" w:hAnsi="Marianne" w:cstheme="minorBidi"/>
          <w:i/>
          <w:iCs/>
          <w:sz w:val="20"/>
          <w:szCs w:val="20"/>
        </w:rPr>
        <w:t xml:space="preserve">liste non exhaustive) : </w:t>
      </w:r>
    </w:p>
    <w:p w14:paraId="210D999C" w14:textId="77777777" w:rsidR="00C83F08" w:rsidRPr="002E2C89" w:rsidRDefault="00C83F08" w:rsidP="00C83F08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Annonces et nominations au sein des juridictions (magistrats, procureurs, etc.) ;</w:t>
      </w:r>
    </w:p>
    <w:p w14:paraId="21CAA807" w14:textId="77777777" w:rsidR="00C83F08" w:rsidRPr="002E2C89" w:rsidRDefault="00C83F08" w:rsidP="00C83F08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Réformes et modernisation des tribunaux (numérisation, budget, personnel) ;</w:t>
      </w:r>
    </w:p>
    <w:p w14:paraId="769CCA6A" w14:textId="77777777" w:rsidR="00C83F08" w:rsidRPr="002E2C89" w:rsidRDefault="00C83F08" w:rsidP="00C83F08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Procès ou affaires judiciaires ayant une forte portée médiatique ou institutionnelle ; les procès ayant un retentissement médiatique national, un enjeu juridique important ou un lien direct avec les réformes de la Justice ;</w:t>
      </w:r>
    </w:p>
    <w:p w14:paraId="780E3559" w14:textId="77777777" w:rsidR="00C83F08" w:rsidRDefault="00C83F08" w:rsidP="00C83F08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Dossiers sensibles impliquant des décisions de justice majeures.</w:t>
      </w:r>
    </w:p>
    <w:p w14:paraId="54218673" w14:textId="77777777" w:rsidR="00C83F08" w:rsidRPr="002E2C89" w:rsidRDefault="00C83F08" w:rsidP="00C83F08">
      <w:pPr>
        <w:spacing w:after="160" w:line="259" w:lineRule="auto"/>
        <w:ind w:left="720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252FD201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2E2C89">
        <w:rPr>
          <w:rFonts w:ascii="Marianne" w:hAnsi="Marianne" w:cstheme="minorBidi"/>
          <w:i/>
          <w:iCs/>
          <w:sz w:val="20"/>
          <w:szCs w:val="20"/>
        </w:rPr>
        <w:t>Ne doivent pas être inclus :</w:t>
      </w:r>
    </w:p>
    <w:p w14:paraId="36983D3E" w14:textId="77777777" w:rsidR="00C83F08" w:rsidRPr="002E2C89" w:rsidRDefault="00C83F08" w:rsidP="00C83F08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Faits divers ou procès sans retentissement significatif (les affaires très locales ou de faible impact médiatique doivent être évitées) ;</w:t>
      </w:r>
    </w:p>
    <w:p w14:paraId="097234F1" w14:textId="77777777" w:rsidR="00C83F08" w:rsidRDefault="00C83F08" w:rsidP="00C83F08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Contenus purement académiques ou théoriques sur le droit sans lien avec l’actualité judiciaire.</w:t>
      </w:r>
    </w:p>
    <w:p w14:paraId="7D65A49D" w14:textId="77777777" w:rsidR="00C83F08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3F691B8A" w14:textId="77777777" w:rsidR="00C83F08" w:rsidRPr="00583555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 w:rsidRPr="00583555">
        <w:rPr>
          <w:rFonts w:ascii="Marianne" w:hAnsi="Marianne" w:cstheme="minorBidi"/>
          <w:b/>
          <w:bCs/>
          <w:sz w:val="20"/>
          <w:szCs w:val="20"/>
          <w:u w:val="single"/>
        </w:rPr>
        <w:t>Criminalité organisée</w:t>
      </w:r>
    </w:p>
    <w:p w14:paraId="3E524464" w14:textId="77777777" w:rsidR="00C83F08" w:rsidRPr="00583555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</w:p>
    <w:p w14:paraId="75168033" w14:textId="77777777" w:rsidR="00C83F08" w:rsidRPr="00583555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t xml:space="preserve">Cette rubrique couvre les actualités relatives à la criminalité organisée (narcotrafic, prostitution, affaires judiciaires). </w:t>
      </w:r>
    </w:p>
    <w:p w14:paraId="7B41167D" w14:textId="77777777" w:rsidR="00C83F08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b/>
          <w:bCs/>
          <w:sz w:val="20"/>
          <w:szCs w:val="20"/>
          <w:highlight w:val="yellow"/>
          <w:u w:val="single"/>
        </w:rPr>
      </w:pPr>
    </w:p>
    <w:p w14:paraId="0B08C441" w14:textId="77777777" w:rsidR="00C83F08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E54F01">
        <w:rPr>
          <w:rFonts w:ascii="Marianne" w:hAnsi="Marianne" w:cstheme="minorBidi"/>
          <w:i/>
          <w:iCs/>
          <w:sz w:val="20"/>
          <w:szCs w:val="20"/>
        </w:rPr>
        <w:t>Doivent être inclus</w:t>
      </w:r>
      <w:r w:rsidRPr="00E54F01">
        <w:rPr>
          <w:rFonts w:ascii="Marianne" w:hAnsi="Marianne" w:cstheme="minorBidi"/>
          <w:sz w:val="20"/>
          <w:szCs w:val="20"/>
        </w:rPr>
        <w:t xml:space="preserve"> (</w:t>
      </w:r>
      <w:r w:rsidRPr="00E54F01">
        <w:rPr>
          <w:rFonts w:ascii="Marianne" w:hAnsi="Marianne" w:cstheme="minorBidi"/>
          <w:i/>
          <w:iCs/>
          <w:sz w:val="20"/>
          <w:szCs w:val="20"/>
        </w:rPr>
        <w:t xml:space="preserve">liste non exhaustive) : </w:t>
      </w:r>
    </w:p>
    <w:p w14:paraId="6A5DBB6A" w14:textId="77777777" w:rsidR="00C83F08" w:rsidRPr="00583555" w:rsidRDefault="00C83F08" w:rsidP="00C83F08">
      <w:pPr>
        <w:pStyle w:val="Paragraphedeliste"/>
        <w:numPr>
          <w:ilvl w:val="0"/>
          <w:numId w:val="5"/>
        </w:num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t>Articles relatifs à la criminalité organisée au sens large</w:t>
      </w:r>
    </w:p>
    <w:p w14:paraId="28EBCE7D" w14:textId="77777777" w:rsidR="00C83F08" w:rsidRPr="00583555" w:rsidRDefault="00C83F08" w:rsidP="00C83F08">
      <w:pPr>
        <w:pStyle w:val="Paragraphedeliste"/>
        <w:numPr>
          <w:ilvl w:val="0"/>
          <w:numId w:val="5"/>
        </w:num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t>Articles relatifs à l’action du ministère pour lutter contre la criminalité organisée</w:t>
      </w:r>
    </w:p>
    <w:p w14:paraId="795D6A59" w14:textId="77777777" w:rsidR="00C83F08" w:rsidRPr="00583555" w:rsidRDefault="00C83F08" w:rsidP="00C83F08">
      <w:pPr>
        <w:pStyle w:val="Paragraphedeliste"/>
        <w:numPr>
          <w:ilvl w:val="0"/>
          <w:numId w:val="5"/>
        </w:num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t>Articles relatifs à la prostitution dans le cadre de criminalité organisée</w:t>
      </w:r>
    </w:p>
    <w:p w14:paraId="0FC5C97A" w14:textId="77777777" w:rsidR="00C83F08" w:rsidRPr="00583555" w:rsidRDefault="00C83F08" w:rsidP="00C83F08">
      <w:pPr>
        <w:pStyle w:val="Paragraphedeliste"/>
        <w:numPr>
          <w:ilvl w:val="0"/>
          <w:numId w:val="5"/>
        </w:num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lastRenderedPageBreak/>
        <w:t>Articles relatifs à des affaires judiciaires en lien avec la criminalité organisée</w:t>
      </w:r>
    </w:p>
    <w:p w14:paraId="31CF0B96" w14:textId="77777777" w:rsidR="00C83F08" w:rsidRPr="00E54F01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b/>
          <w:bCs/>
          <w:sz w:val="20"/>
          <w:szCs w:val="20"/>
          <w:highlight w:val="yellow"/>
          <w:u w:val="single"/>
        </w:rPr>
      </w:pPr>
    </w:p>
    <w:p w14:paraId="6EFC5128" w14:textId="77777777" w:rsidR="00C83F08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 w:rsidRPr="00583555">
        <w:rPr>
          <w:rFonts w:ascii="Marianne" w:hAnsi="Marianne" w:cstheme="minorBidi"/>
          <w:b/>
          <w:bCs/>
          <w:sz w:val="20"/>
          <w:szCs w:val="20"/>
          <w:u w:val="single"/>
        </w:rPr>
        <w:t>Institutionnel – Juridique</w:t>
      </w:r>
      <w:r w:rsidRPr="00E54F01">
        <w:rPr>
          <w:rFonts w:ascii="Marianne" w:hAnsi="Marianne" w:cstheme="minorBidi"/>
          <w:b/>
          <w:bCs/>
          <w:sz w:val="20"/>
          <w:szCs w:val="20"/>
          <w:u w:val="single"/>
        </w:rPr>
        <w:t xml:space="preserve"> </w:t>
      </w:r>
    </w:p>
    <w:p w14:paraId="60C2594D" w14:textId="77777777" w:rsidR="00C83F08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</w:p>
    <w:p w14:paraId="1AE8BCDC" w14:textId="77777777" w:rsidR="00C83F08" w:rsidRPr="00583555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t xml:space="preserve">Cette rubrique couvre les champs relatifs à l’actualité du ministère en tant qu’institution ou des évolutions ou actualités législatives en lien avec l’activité du ministère </w:t>
      </w:r>
    </w:p>
    <w:p w14:paraId="6DA20E40" w14:textId="77777777" w:rsidR="00C83F08" w:rsidRPr="00583555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7D098E47" w14:textId="77777777" w:rsidR="00C83F08" w:rsidRPr="00583555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583555">
        <w:rPr>
          <w:rFonts w:ascii="Marianne" w:hAnsi="Marianne" w:cstheme="minorBidi"/>
          <w:i/>
          <w:iCs/>
          <w:sz w:val="20"/>
          <w:szCs w:val="20"/>
        </w:rPr>
        <w:t>Doivent être inclus</w:t>
      </w:r>
      <w:r w:rsidRPr="00583555">
        <w:rPr>
          <w:rFonts w:ascii="Marianne" w:hAnsi="Marianne" w:cstheme="minorBidi"/>
          <w:sz w:val="20"/>
          <w:szCs w:val="20"/>
        </w:rPr>
        <w:t xml:space="preserve"> (</w:t>
      </w:r>
      <w:r w:rsidRPr="00583555">
        <w:rPr>
          <w:rFonts w:ascii="Marianne" w:hAnsi="Marianne" w:cstheme="minorBidi"/>
          <w:i/>
          <w:iCs/>
          <w:sz w:val="20"/>
          <w:szCs w:val="20"/>
        </w:rPr>
        <w:t xml:space="preserve">liste non exhaustive) : </w:t>
      </w:r>
    </w:p>
    <w:p w14:paraId="72A442AF" w14:textId="77777777" w:rsidR="00C83F08" w:rsidRPr="00583555" w:rsidRDefault="00C83F08" w:rsidP="00C83F08">
      <w:pPr>
        <w:pStyle w:val="Paragraphedeliste"/>
        <w:numPr>
          <w:ilvl w:val="0"/>
          <w:numId w:val="5"/>
        </w:num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t>Article en lien avec l’institution du ministère de la Justice</w:t>
      </w:r>
    </w:p>
    <w:p w14:paraId="229F2E62" w14:textId="77777777" w:rsidR="00C83F08" w:rsidRPr="00583555" w:rsidRDefault="00C83F08" w:rsidP="00C83F08">
      <w:pPr>
        <w:pStyle w:val="Paragraphedeliste"/>
        <w:numPr>
          <w:ilvl w:val="0"/>
          <w:numId w:val="5"/>
        </w:num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t>Evolutions ou actualités législatives en lien avec l’activité du ministère</w:t>
      </w:r>
    </w:p>
    <w:p w14:paraId="4FC3345A" w14:textId="77777777" w:rsidR="00C83F08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</w:p>
    <w:p w14:paraId="0EBC36DE" w14:textId="77777777" w:rsidR="00C83F08" w:rsidRPr="00E54F01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 w:rsidRPr="00583555">
        <w:rPr>
          <w:rFonts w:ascii="Marianne" w:hAnsi="Marianne" w:cstheme="minorBidi"/>
          <w:b/>
          <w:bCs/>
          <w:sz w:val="20"/>
          <w:szCs w:val="20"/>
          <w:u w:val="single"/>
        </w:rPr>
        <w:t>Affaires intérieures</w:t>
      </w:r>
      <w:r>
        <w:rPr>
          <w:rFonts w:ascii="Marianne" w:hAnsi="Marianne" w:cstheme="minorBidi"/>
          <w:b/>
          <w:bCs/>
          <w:sz w:val="20"/>
          <w:szCs w:val="20"/>
          <w:u w:val="single"/>
        </w:rPr>
        <w:t xml:space="preserve"> </w:t>
      </w:r>
    </w:p>
    <w:p w14:paraId="659191C7" w14:textId="77777777" w:rsidR="00C83F08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1C9262CD" w14:textId="77777777" w:rsidR="00C83F08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583555">
        <w:rPr>
          <w:rFonts w:ascii="Marianne" w:hAnsi="Marianne" w:cstheme="minorBidi"/>
          <w:sz w:val="20"/>
          <w:szCs w:val="20"/>
        </w:rPr>
        <w:t xml:space="preserve">Cette rubrique couvre les actualités relatives </w:t>
      </w:r>
      <w:r>
        <w:rPr>
          <w:rFonts w:ascii="Marianne" w:hAnsi="Marianne" w:cstheme="minorBidi"/>
          <w:sz w:val="20"/>
          <w:szCs w:val="20"/>
        </w:rPr>
        <w:t xml:space="preserve">aux affaires intérieures sur des thématiques pouvant intéresser le ministère de la Justice. </w:t>
      </w:r>
    </w:p>
    <w:p w14:paraId="36E50E57" w14:textId="77777777" w:rsidR="00C83F08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0C63FE78" w14:textId="77777777" w:rsidR="00C83F08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E54F01">
        <w:rPr>
          <w:rFonts w:ascii="Marianne" w:hAnsi="Marianne" w:cstheme="minorBidi"/>
          <w:i/>
          <w:iCs/>
          <w:sz w:val="20"/>
          <w:szCs w:val="20"/>
        </w:rPr>
        <w:t>Doivent être inclus</w:t>
      </w:r>
      <w:r w:rsidRPr="00E54F01">
        <w:rPr>
          <w:rFonts w:ascii="Marianne" w:hAnsi="Marianne" w:cstheme="minorBidi"/>
          <w:sz w:val="20"/>
          <w:szCs w:val="20"/>
        </w:rPr>
        <w:t xml:space="preserve"> (</w:t>
      </w:r>
      <w:r w:rsidRPr="00E54F01">
        <w:rPr>
          <w:rFonts w:ascii="Marianne" w:hAnsi="Marianne" w:cstheme="minorBidi"/>
          <w:i/>
          <w:iCs/>
          <w:sz w:val="20"/>
          <w:szCs w:val="20"/>
        </w:rPr>
        <w:t xml:space="preserve">liste non exhaustive) : </w:t>
      </w:r>
    </w:p>
    <w:p w14:paraId="7325F36B" w14:textId="77777777" w:rsidR="00C83F08" w:rsidRPr="00583555" w:rsidRDefault="00C83F08" w:rsidP="00C83F08">
      <w:pPr>
        <w:pStyle w:val="Paragraphedeliste"/>
        <w:numPr>
          <w:ilvl w:val="0"/>
          <w:numId w:val="5"/>
        </w:num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>
        <w:rPr>
          <w:rFonts w:ascii="Marianne" w:hAnsi="Marianne" w:cstheme="minorBidi"/>
          <w:sz w:val="20"/>
          <w:szCs w:val="20"/>
        </w:rPr>
        <w:t>Articles relatifs à des faits-divers ou des actualités du ministère de l’Intérieur susceptibles d’intéresser le ministère de la Justice</w:t>
      </w:r>
    </w:p>
    <w:p w14:paraId="11F8480F" w14:textId="77777777" w:rsidR="00C83F08" w:rsidRPr="00E54F01" w:rsidRDefault="00C83F08" w:rsidP="00C83F08">
      <w:p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Cette rubrique sera réduite au profit des autres en cas de besoin à l’appréciation du titulaire, pour respecter le seuil maximum d’articles</w:t>
      </w:r>
    </w:p>
    <w:p w14:paraId="7CF12869" w14:textId="77777777" w:rsidR="00C83F08" w:rsidRDefault="00C83F08" w:rsidP="00C83F08">
      <w:pPr>
        <w:spacing w:after="160" w:line="259" w:lineRule="auto"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</w:p>
    <w:p w14:paraId="4AA8307E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 w:rsidRPr="00E54F01">
        <w:rPr>
          <w:rFonts w:ascii="Marianne" w:hAnsi="Marianne" w:cstheme="minorBidi"/>
          <w:b/>
          <w:bCs/>
          <w:sz w:val="20"/>
          <w:szCs w:val="20"/>
          <w:u w:val="single"/>
        </w:rPr>
        <w:t>Europe-International</w:t>
      </w:r>
    </w:p>
    <w:p w14:paraId="31591E6D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Cette rubrique concerne l’actualité de la Justice au niveau européen et international.</w:t>
      </w:r>
      <w:r>
        <w:rPr>
          <w:rFonts w:ascii="Marianne" w:hAnsi="Marianne" w:cstheme="minorBidi"/>
          <w:sz w:val="20"/>
          <w:szCs w:val="20"/>
        </w:rPr>
        <w:t xml:space="preserve"> </w:t>
      </w:r>
      <w:r w:rsidRPr="002E2C89">
        <w:rPr>
          <w:rFonts w:ascii="Marianne" w:hAnsi="Marianne" w:cstheme="minorBidi"/>
          <w:sz w:val="20"/>
          <w:szCs w:val="20"/>
        </w:rPr>
        <w:t>Cette rubrique sera réduite au profit des autres en cas de besoin à l’appréciation du titulaire, pour respecter le seuil maximum d’articles.</w:t>
      </w:r>
    </w:p>
    <w:p w14:paraId="42F10E78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E54F01">
        <w:rPr>
          <w:rFonts w:ascii="Marianne" w:hAnsi="Marianne" w:cstheme="minorBidi"/>
          <w:i/>
          <w:iCs/>
          <w:sz w:val="20"/>
          <w:szCs w:val="20"/>
        </w:rPr>
        <w:t>Doivent être inclus</w:t>
      </w:r>
      <w:r w:rsidRPr="00E54F01">
        <w:rPr>
          <w:rFonts w:ascii="Marianne" w:hAnsi="Marianne" w:cstheme="minorBidi"/>
          <w:sz w:val="20"/>
          <w:szCs w:val="20"/>
        </w:rPr>
        <w:t xml:space="preserve"> (</w:t>
      </w:r>
      <w:r w:rsidRPr="00E54F01">
        <w:rPr>
          <w:rFonts w:ascii="Marianne" w:hAnsi="Marianne" w:cstheme="minorBidi"/>
          <w:i/>
          <w:iCs/>
          <w:sz w:val="20"/>
          <w:szCs w:val="20"/>
        </w:rPr>
        <w:t xml:space="preserve">liste non exhaustive) : </w:t>
      </w:r>
    </w:p>
    <w:p w14:paraId="34C4E763" w14:textId="77777777" w:rsidR="00C83F08" w:rsidRPr="002E2C89" w:rsidRDefault="00C83F08" w:rsidP="00C83F08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Politiques judiciaires de l’Union européenne et du Conseil de l’Europe ;</w:t>
      </w:r>
    </w:p>
    <w:p w14:paraId="00ED99FC" w14:textId="77777777" w:rsidR="00C83F08" w:rsidRPr="002E2C89" w:rsidRDefault="00C83F08" w:rsidP="00C83F08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Décisions de la Cour de justice de l’Union européenne (CJUE) et de la Cour européenne des droits de l’Homme (CEDH) affectant la France ;</w:t>
      </w:r>
    </w:p>
    <w:p w14:paraId="363903EE" w14:textId="77777777" w:rsidR="00C83F08" w:rsidRPr="002E2C89" w:rsidRDefault="00C83F08" w:rsidP="00C83F08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Réformes judiciaires dans d’autres pays pouvant avoir un impact ou un parallèle avec la France ;</w:t>
      </w:r>
    </w:p>
    <w:p w14:paraId="4458A1D2" w14:textId="77777777" w:rsidR="00C83F08" w:rsidRPr="002E2C89" w:rsidRDefault="00C83F08" w:rsidP="00C83F08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Coopérations judiciaires internationales, Eurojust, extraditions ;</w:t>
      </w:r>
    </w:p>
    <w:p w14:paraId="1744CADC" w14:textId="77777777" w:rsidR="00C83F08" w:rsidRPr="002E2C89" w:rsidRDefault="00C83F08" w:rsidP="00C83F08">
      <w:pPr>
        <w:numPr>
          <w:ilvl w:val="0"/>
          <w:numId w:val="6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Affaires judiciaires transnationales impliquant la France.</w:t>
      </w:r>
    </w:p>
    <w:p w14:paraId="45271E08" w14:textId="77777777" w:rsidR="00C83F08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</w:p>
    <w:p w14:paraId="08B7F705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Les titres et chapôs des articles issus de médias internationaux doivent être traduits.</w:t>
      </w:r>
    </w:p>
    <w:p w14:paraId="148C33B1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2E2C89">
        <w:rPr>
          <w:rFonts w:ascii="Marianne" w:hAnsi="Marianne" w:cstheme="minorBidi"/>
          <w:i/>
          <w:iCs/>
          <w:sz w:val="20"/>
          <w:szCs w:val="20"/>
        </w:rPr>
        <w:t>Ne doivent pas être inclus :</w:t>
      </w:r>
    </w:p>
    <w:p w14:paraId="61A7BB9B" w14:textId="77777777" w:rsidR="00C83F08" w:rsidRPr="002E2C89" w:rsidRDefault="00C83F08" w:rsidP="00C83F08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Articles sur la politique internationale sans dimension judiciaire ;</w:t>
      </w:r>
    </w:p>
    <w:p w14:paraId="7AD50CE3" w14:textId="77777777" w:rsidR="00C83F08" w:rsidRPr="002E2C89" w:rsidRDefault="00C83F08" w:rsidP="00C83F08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lastRenderedPageBreak/>
        <w:t>Articles sur des procès étrangers sans lien avec la France ou les institutions européennes.</w:t>
      </w:r>
    </w:p>
    <w:p w14:paraId="5A5C49AA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</w:p>
    <w:p w14:paraId="2182D980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b/>
          <w:bCs/>
          <w:sz w:val="20"/>
          <w:szCs w:val="20"/>
          <w:u w:val="single"/>
        </w:rPr>
      </w:pPr>
      <w:r w:rsidRPr="00E54F01">
        <w:rPr>
          <w:rFonts w:ascii="Marianne" w:hAnsi="Marianne" w:cstheme="minorBidi"/>
          <w:b/>
          <w:bCs/>
          <w:sz w:val="20"/>
          <w:szCs w:val="20"/>
          <w:u w:val="single"/>
        </w:rPr>
        <w:t>Politique</w:t>
      </w:r>
    </w:p>
    <w:p w14:paraId="33DEB5B4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Cette rubrique regroupe les articles sur l</w:t>
      </w:r>
      <w:r>
        <w:rPr>
          <w:rFonts w:ascii="Marianne" w:hAnsi="Marianne" w:cstheme="minorBidi"/>
          <w:sz w:val="20"/>
          <w:szCs w:val="20"/>
        </w:rPr>
        <w:t>es actualités majeures de la politique nationale, l’actualité du Président de la République ou du Premier ministre ou les politiques publiques gouvernementales</w:t>
      </w:r>
      <w:r w:rsidRPr="002E2C89">
        <w:rPr>
          <w:rFonts w:ascii="Marianne" w:hAnsi="Marianne" w:cstheme="minorBidi"/>
          <w:sz w:val="20"/>
          <w:szCs w:val="20"/>
        </w:rPr>
        <w:t xml:space="preserve">. </w:t>
      </w:r>
      <w:r>
        <w:rPr>
          <w:rFonts w:ascii="Marianne" w:hAnsi="Marianne" w:cstheme="minorBidi"/>
          <w:sz w:val="20"/>
          <w:szCs w:val="20"/>
        </w:rPr>
        <w:t xml:space="preserve">Les interviews importantes des membres du Gouvernement seront intégrées dans cette rubrique. </w:t>
      </w:r>
      <w:r w:rsidRPr="002E2C89">
        <w:rPr>
          <w:rFonts w:ascii="Marianne" w:hAnsi="Marianne" w:cstheme="minorBidi"/>
          <w:sz w:val="20"/>
          <w:szCs w:val="20"/>
        </w:rPr>
        <w:t>Cette rubrique sera réduite au profit des autres en cas de besoin à l’appréciation du titulaire, pour respecter le seuil maximum d’articles.</w:t>
      </w:r>
    </w:p>
    <w:p w14:paraId="01ED88B2" w14:textId="77777777" w:rsidR="00C83F08" w:rsidRPr="00E54F01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E54F01">
        <w:rPr>
          <w:rFonts w:ascii="Marianne" w:hAnsi="Marianne" w:cstheme="minorBidi"/>
          <w:i/>
          <w:iCs/>
          <w:sz w:val="20"/>
          <w:szCs w:val="20"/>
        </w:rPr>
        <w:t>Doivent être inclus</w:t>
      </w:r>
      <w:r w:rsidRPr="00E54F01">
        <w:rPr>
          <w:rFonts w:ascii="Marianne" w:hAnsi="Marianne" w:cstheme="minorBidi"/>
          <w:sz w:val="20"/>
          <w:szCs w:val="20"/>
        </w:rPr>
        <w:t xml:space="preserve"> (</w:t>
      </w:r>
      <w:r w:rsidRPr="00E54F01">
        <w:rPr>
          <w:rFonts w:ascii="Marianne" w:hAnsi="Marianne" w:cstheme="minorBidi"/>
          <w:i/>
          <w:iCs/>
          <w:sz w:val="20"/>
          <w:szCs w:val="20"/>
        </w:rPr>
        <w:t xml:space="preserve">liste non exhaustive) : </w:t>
      </w:r>
    </w:p>
    <w:p w14:paraId="10A1C106" w14:textId="77777777" w:rsidR="00C83F08" w:rsidRPr="002E2C89" w:rsidRDefault="00C83F08" w:rsidP="00C83F08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Réformes judiciaires en débat au Parlement ;</w:t>
      </w:r>
    </w:p>
    <w:p w14:paraId="2876CB0A" w14:textId="77777777" w:rsidR="00C83F08" w:rsidRPr="002E2C89" w:rsidRDefault="00C83F08" w:rsidP="00C83F08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Déclarations de responsables politiques sur la Justice ;</w:t>
      </w:r>
    </w:p>
    <w:p w14:paraId="70581087" w14:textId="77777777" w:rsidR="00C83F08" w:rsidRPr="002E2C89" w:rsidRDefault="00C83F08" w:rsidP="00C83F08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Positions des partis politiques sur des sujets judiciaires ou sécuritaires ;</w:t>
      </w:r>
    </w:p>
    <w:p w14:paraId="7D7EF956" w14:textId="77777777" w:rsidR="00C83F08" w:rsidRPr="002E2C89" w:rsidRDefault="00C83F08" w:rsidP="00C83F08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Relations entre le ministère de la Justice et d’autres ministères ;</w:t>
      </w:r>
    </w:p>
    <w:p w14:paraId="0B304079" w14:textId="77777777" w:rsidR="00C83F08" w:rsidRPr="002E2C89" w:rsidRDefault="00C83F08" w:rsidP="00C83F08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Conflits d’intérêt, affaires judiciaires impliquant des personnalités politiques ;</w:t>
      </w:r>
    </w:p>
    <w:p w14:paraId="5526088B" w14:textId="77777777" w:rsidR="00C83F08" w:rsidRPr="002E2C89" w:rsidRDefault="00C83F08" w:rsidP="00C83F08">
      <w:pPr>
        <w:spacing w:after="160" w:line="259" w:lineRule="auto"/>
        <w:ind w:left="720"/>
        <w:contextualSpacing/>
        <w:jc w:val="both"/>
        <w:rPr>
          <w:rFonts w:ascii="Marianne" w:hAnsi="Marianne" w:cstheme="minorBidi"/>
          <w:sz w:val="20"/>
          <w:szCs w:val="20"/>
        </w:rPr>
      </w:pPr>
    </w:p>
    <w:p w14:paraId="2F22AB3E" w14:textId="77777777" w:rsidR="00C83F08" w:rsidRPr="002E2C89" w:rsidRDefault="00C83F08" w:rsidP="00C83F08">
      <w:pPr>
        <w:spacing w:after="160" w:line="259" w:lineRule="auto"/>
        <w:jc w:val="both"/>
        <w:rPr>
          <w:rFonts w:ascii="Marianne" w:hAnsi="Marianne" w:cstheme="minorBidi"/>
          <w:i/>
          <w:iCs/>
          <w:sz w:val="20"/>
          <w:szCs w:val="20"/>
        </w:rPr>
      </w:pPr>
      <w:r w:rsidRPr="002E2C89">
        <w:rPr>
          <w:rFonts w:ascii="Marianne" w:hAnsi="Marianne" w:cstheme="minorBidi"/>
          <w:i/>
          <w:iCs/>
          <w:sz w:val="20"/>
          <w:szCs w:val="20"/>
        </w:rPr>
        <w:t>Ne doivent pas être inclus :</w:t>
      </w:r>
    </w:p>
    <w:p w14:paraId="60102ED5" w14:textId="77777777" w:rsidR="00C83F08" w:rsidRPr="002E2C89" w:rsidRDefault="00C83F08" w:rsidP="00C83F08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Articles purement politiques sans lien avec la Justice.</w:t>
      </w:r>
    </w:p>
    <w:p w14:paraId="67E17BE4" w14:textId="77777777" w:rsidR="00C83F08" w:rsidRDefault="00C83F08" w:rsidP="00C83F08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Marianne" w:hAnsi="Marianne" w:cstheme="minorBidi"/>
          <w:sz w:val="20"/>
          <w:szCs w:val="20"/>
        </w:rPr>
      </w:pPr>
      <w:r w:rsidRPr="002E2C89">
        <w:rPr>
          <w:rFonts w:ascii="Marianne" w:hAnsi="Marianne" w:cstheme="minorBidi"/>
          <w:sz w:val="20"/>
          <w:szCs w:val="20"/>
        </w:rPr>
        <w:t>Déclarations de personnalités politiques n’évoquant pas des sujets judiciaires.</w:t>
      </w:r>
    </w:p>
    <w:p w14:paraId="5248DBB3" w14:textId="77777777" w:rsidR="00B51987" w:rsidRDefault="00B51987"/>
    <w:sectPr w:rsidR="00B5198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88B29" w14:textId="77777777" w:rsidR="007D18A2" w:rsidRDefault="007D18A2" w:rsidP="001C0A14">
      <w:r>
        <w:separator/>
      </w:r>
    </w:p>
  </w:endnote>
  <w:endnote w:type="continuationSeparator" w:id="0">
    <w:p w14:paraId="16A6B06E" w14:textId="77777777" w:rsidR="007D18A2" w:rsidRDefault="007D18A2" w:rsidP="001C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8730912"/>
      <w:docPartObj>
        <w:docPartGallery w:val="Page Numbers (Bottom of Page)"/>
        <w:docPartUnique/>
      </w:docPartObj>
    </w:sdtPr>
    <w:sdtContent>
      <w:p w14:paraId="3FADE0F5" w14:textId="1D140AEF" w:rsidR="001C0A14" w:rsidRDefault="00432394" w:rsidP="008A53F4">
        <w:pPr>
          <w:pStyle w:val="Pieddepage"/>
          <w:jc w:val="center"/>
        </w:pPr>
        <w:r w:rsidRPr="00432394">
          <w:t xml:space="preserve">MT18072025 - </w:t>
        </w:r>
        <w:r w:rsidR="008A53F4" w:rsidRPr="008A53F4">
          <w:rPr>
            <w:rFonts w:ascii="Marianne" w:hAnsi="Marianne"/>
            <w:sz w:val="18"/>
            <w:szCs w:val="18"/>
          </w:rPr>
          <w:t>Annexe 1 au CCTP de l’accord</w:t>
        </w:r>
        <w:r w:rsidR="001D3ED2">
          <w:rPr>
            <w:rFonts w:ascii="Marianne" w:hAnsi="Marianne"/>
            <w:sz w:val="18"/>
            <w:szCs w:val="18"/>
          </w:rPr>
          <w:t>-</w:t>
        </w:r>
        <w:r w:rsidR="008A53F4" w:rsidRPr="008A53F4">
          <w:rPr>
            <w:rFonts w:ascii="Marianne" w:hAnsi="Marianne"/>
            <w:sz w:val="18"/>
            <w:szCs w:val="18"/>
          </w:rPr>
          <w:t>cadre</w:t>
        </w:r>
        <w:r w:rsidR="001D3ED2">
          <w:rPr>
            <w:rFonts w:ascii="Marianne" w:hAnsi="Marianne"/>
            <w:sz w:val="18"/>
            <w:szCs w:val="18"/>
          </w:rPr>
          <w:t xml:space="preserve"> sur bons de commande</w:t>
        </w:r>
        <w:r w:rsidR="008A53F4" w:rsidRPr="008A53F4">
          <w:rPr>
            <w:rFonts w:ascii="Marianne" w:hAnsi="Marianne"/>
            <w:sz w:val="18"/>
            <w:szCs w:val="18"/>
          </w:rPr>
          <w:t xml:space="preserve"> relatif à la veille, la synthèse et l’analyse des médias et réseaux sociaux pour les services centraux du ministère de la </w:t>
        </w:r>
        <w:proofErr w:type="gramStart"/>
        <w:r w:rsidR="008A53F4" w:rsidRPr="008A53F4">
          <w:rPr>
            <w:rFonts w:ascii="Marianne" w:hAnsi="Marianne"/>
            <w:sz w:val="18"/>
            <w:szCs w:val="18"/>
          </w:rPr>
          <w:t>Justice</w:t>
        </w:r>
        <w:r w:rsidR="008A53F4">
          <w:t xml:space="preserve">  -</w:t>
        </w:r>
        <w:proofErr w:type="gramEnd"/>
        <w:r w:rsidR="008A53F4">
          <w:t xml:space="preserve"> </w:t>
        </w:r>
        <w:r w:rsidR="001C0A14">
          <w:fldChar w:fldCharType="begin"/>
        </w:r>
        <w:r w:rsidR="001C0A14">
          <w:instrText>PAGE   \* MERGEFORMAT</w:instrText>
        </w:r>
        <w:r w:rsidR="001C0A14">
          <w:fldChar w:fldCharType="separate"/>
        </w:r>
        <w:r w:rsidR="001C0A14">
          <w:t>2</w:t>
        </w:r>
        <w:r w:rsidR="001C0A14">
          <w:fldChar w:fldCharType="end"/>
        </w:r>
      </w:p>
    </w:sdtContent>
  </w:sdt>
  <w:p w14:paraId="3944EFE3" w14:textId="77777777" w:rsidR="001C0A14" w:rsidRDefault="001C0A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D5FE4" w14:textId="77777777" w:rsidR="007D18A2" w:rsidRDefault="007D18A2" w:rsidP="001C0A14">
      <w:r>
        <w:separator/>
      </w:r>
    </w:p>
  </w:footnote>
  <w:footnote w:type="continuationSeparator" w:id="0">
    <w:p w14:paraId="57BD44C1" w14:textId="77777777" w:rsidR="007D18A2" w:rsidRDefault="007D18A2" w:rsidP="001C0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95199"/>
    <w:multiLevelType w:val="hybridMultilevel"/>
    <w:tmpl w:val="2A4E3D0E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6295A"/>
    <w:multiLevelType w:val="hybridMultilevel"/>
    <w:tmpl w:val="31E0ADD2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E65A4"/>
    <w:multiLevelType w:val="hybridMultilevel"/>
    <w:tmpl w:val="028C1DB4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37F83"/>
    <w:multiLevelType w:val="hybridMultilevel"/>
    <w:tmpl w:val="453688CC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83D38"/>
    <w:multiLevelType w:val="hybridMultilevel"/>
    <w:tmpl w:val="AA225D30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AD3"/>
    <w:multiLevelType w:val="hybridMultilevel"/>
    <w:tmpl w:val="DD664DD0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94A57"/>
    <w:multiLevelType w:val="hybridMultilevel"/>
    <w:tmpl w:val="64547700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90F90"/>
    <w:multiLevelType w:val="hybridMultilevel"/>
    <w:tmpl w:val="90ACBFD8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143CF"/>
    <w:multiLevelType w:val="hybridMultilevel"/>
    <w:tmpl w:val="577EF92A"/>
    <w:lvl w:ilvl="0" w:tplc="E41CA0BC">
      <w:start w:val="3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212343">
    <w:abstractNumId w:val="5"/>
  </w:num>
  <w:num w:numId="2" w16cid:durableId="663481">
    <w:abstractNumId w:val="3"/>
  </w:num>
  <w:num w:numId="3" w16cid:durableId="821694713">
    <w:abstractNumId w:val="1"/>
  </w:num>
  <w:num w:numId="4" w16cid:durableId="336538120">
    <w:abstractNumId w:val="8"/>
  </w:num>
  <w:num w:numId="5" w16cid:durableId="1312296433">
    <w:abstractNumId w:val="7"/>
  </w:num>
  <w:num w:numId="6" w16cid:durableId="5638757">
    <w:abstractNumId w:val="2"/>
  </w:num>
  <w:num w:numId="7" w16cid:durableId="92744985">
    <w:abstractNumId w:val="6"/>
  </w:num>
  <w:num w:numId="8" w16cid:durableId="463278180">
    <w:abstractNumId w:val="4"/>
  </w:num>
  <w:num w:numId="9" w16cid:durableId="95872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08"/>
    <w:rsid w:val="000124A3"/>
    <w:rsid w:val="00072F98"/>
    <w:rsid w:val="000C2EB4"/>
    <w:rsid w:val="001C0A14"/>
    <w:rsid w:val="001D3ED2"/>
    <w:rsid w:val="00432394"/>
    <w:rsid w:val="006E7D3C"/>
    <w:rsid w:val="007D18A2"/>
    <w:rsid w:val="00863B21"/>
    <w:rsid w:val="00890C44"/>
    <w:rsid w:val="008943EA"/>
    <w:rsid w:val="008A53F4"/>
    <w:rsid w:val="00B51987"/>
    <w:rsid w:val="00C83F08"/>
    <w:rsid w:val="00DC00A4"/>
    <w:rsid w:val="00DD0EC2"/>
    <w:rsid w:val="00EB36FB"/>
    <w:rsid w:val="00F4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2C3C"/>
  <w15:chartTrackingRefBased/>
  <w15:docId w15:val="{A909B1B7-F412-4C04-AA88-AE2AA7C6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F08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3F0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C0A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C0A14"/>
    <w:rPr>
      <w:rFonts w:ascii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1C0A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C0A1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29E0DE355794BAA7573173D973376" ma:contentTypeVersion="2" ma:contentTypeDescription="Crée un document." ma:contentTypeScope="" ma:versionID="5845245432bf2f5980f9382334d4c2ba">
  <xsd:schema xmlns:xsd="http://www.w3.org/2001/XMLSchema" xmlns:xs="http://www.w3.org/2001/XMLSchema" xmlns:p="http://schemas.microsoft.com/office/2006/metadata/properties" xmlns:ns2="31937c7d-628f-4372-8483-9549db319d74" targetNamespace="http://schemas.microsoft.com/office/2006/metadata/properties" ma:root="true" ma:fieldsID="465536428afa6354f4aa5b89d7dfa743" ns2:_="">
    <xsd:import namespace="31937c7d-628f-4372-8483-9549db319d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37c7d-628f-4372-8483-9549db319d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66CC88-B888-4FCF-A2B6-74118DEE5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937c7d-628f-4372-8483-9549db319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7C3122-5A8D-4334-A83B-D329AAF956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7717F4-A2E8-4437-9848-070607547B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1124</Words>
  <Characters>6186</Characters>
  <Application>Microsoft Office Word</Application>
  <DocSecurity>0</DocSecurity>
  <Lines>51</Lines>
  <Paragraphs>14</Paragraphs>
  <ScaleCrop>false</ScaleCrop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MEGUIRA Julie</dc:creator>
  <cp:keywords/>
  <dc:description/>
  <cp:lastModifiedBy>ROMAN Julien</cp:lastModifiedBy>
  <cp:revision>8</cp:revision>
  <dcterms:created xsi:type="dcterms:W3CDTF">2025-05-14T15:15:00Z</dcterms:created>
  <dcterms:modified xsi:type="dcterms:W3CDTF">2025-07-18T08:12:00Z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0x010100E2A29E0DE355794BAA7573173D973376</vt:lpwstr>
  </property>
</Properties>
</file>